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43" w:rsidRPr="005D6640" w:rsidRDefault="00244F43" w:rsidP="001935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b/>
          <w:sz w:val="28"/>
          <w:szCs w:val="28"/>
        </w:rPr>
        <w:t>Отчет о работе с обращениями граждан в Администр</w:t>
      </w:r>
      <w:r w:rsidR="005A1260" w:rsidRPr="005D6640">
        <w:rPr>
          <w:rFonts w:ascii="Times New Roman" w:eastAsia="Times New Roman" w:hAnsi="Times New Roman" w:cs="Times New Roman"/>
          <w:b/>
          <w:sz w:val="28"/>
          <w:szCs w:val="28"/>
        </w:rPr>
        <w:t>ации Кривошеинского района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</w:t>
      </w:r>
      <w:r w:rsidR="0015378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17474" w:rsidRPr="005D66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Работа с обращениями граждан одн</w:t>
      </w:r>
      <w:r w:rsidR="000F5AE9" w:rsidRPr="005D6640">
        <w:rPr>
          <w:rFonts w:ascii="Times New Roman" w:hAnsi="Times New Roman" w:cs="Times New Roman"/>
          <w:sz w:val="28"/>
          <w:szCs w:val="28"/>
        </w:rPr>
        <w:t>о</w:t>
      </w:r>
      <w:r w:rsidR="00B0607F">
        <w:rPr>
          <w:rFonts w:ascii="Times New Roman" w:hAnsi="Times New Roman" w:cs="Times New Roman"/>
          <w:sz w:val="28"/>
          <w:szCs w:val="28"/>
        </w:rPr>
        <w:t xml:space="preserve"> из важнейших</w:t>
      </w:r>
      <w:r w:rsidRPr="005D6640">
        <w:rPr>
          <w:rFonts w:ascii="Times New Roman" w:hAnsi="Times New Roman" w:cs="Times New Roman"/>
          <w:sz w:val="28"/>
          <w:szCs w:val="28"/>
        </w:rPr>
        <w:t xml:space="preserve"> направлений в деятельности Администрац</w:t>
      </w:r>
      <w:r w:rsidR="00542A94" w:rsidRPr="005D6640">
        <w:rPr>
          <w:rFonts w:ascii="Times New Roman" w:hAnsi="Times New Roman" w:cs="Times New Roman"/>
          <w:sz w:val="28"/>
          <w:szCs w:val="28"/>
        </w:rPr>
        <w:t>ии Кривошеинского района Томской области, что в значительной мере способствует удовлетворению нужд и запросов граждан, повышению авторитета органов власти и управления, укреплению их связи с населением.</w:t>
      </w:r>
    </w:p>
    <w:p w:rsidR="00244F43" w:rsidRPr="005D6640" w:rsidRDefault="00244F43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Рассмотрение обращений осуществляется в соответствии с требованиями Федерального закона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самоуправлении», Регламе</w:t>
      </w:r>
      <w:r w:rsidR="001A3E6B" w:rsidRPr="005D6640">
        <w:rPr>
          <w:rFonts w:ascii="Times New Roman" w:eastAsia="Times New Roman" w:hAnsi="Times New Roman" w:cs="Times New Roman"/>
          <w:sz w:val="28"/>
          <w:szCs w:val="28"/>
        </w:rPr>
        <w:t xml:space="preserve">нтом работы Администрации 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>Кривошеинского района.</w:t>
      </w:r>
    </w:p>
    <w:p w:rsidR="008A045E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 Для реализации права граж</w:t>
      </w:r>
      <w:r w:rsidR="001A3E6B" w:rsidRPr="005D6640">
        <w:rPr>
          <w:rFonts w:ascii="Times New Roman" w:hAnsi="Times New Roman" w:cs="Times New Roman"/>
          <w:sz w:val="28"/>
          <w:szCs w:val="28"/>
        </w:rPr>
        <w:t>дан на обращение в Администрацию</w:t>
      </w:r>
      <w:r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 Томской области созданы необходимые условия: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-осуществляется прием и регистрация письменных обращений</w:t>
      </w:r>
      <w:r w:rsidR="000F5AE9" w:rsidRPr="005D6640">
        <w:rPr>
          <w:rFonts w:ascii="Times New Roman" w:hAnsi="Times New Roman" w:cs="Times New Roman"/>
          <w:sz w:val="28"/>
          <w:szCs w:val="28"/>
        </w:rPr>
        <w:t>;</w:t>
      </w:r>
    </w:p>
    <w:p w:rsidR="00244F43" w:rsidRPr="005D6640" w:rsidRDefault="00F40A9F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 xml:space="preserve">- 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работает </w:t>
      </w:r>
      <w:proofErr w:type="spellStart"/>
      <w:r w:rsidRPr="005D6640">
        <w:rPr>
          <w:rFonts w:ascii="Times New Roman" w:hAnsi="Times New Roman" w:cs="Times New Roman"/>
          <w:sz w:val="28"/>
          <w:szCs w:val="28"/>
        </w:rPr>
        <w:t>он</w:t>
      </w:r>
      <w:r w:rsidR="00FB6E41" w:rsidRPr="005D664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FB6E41" w:rsidRPr="005D6640">
        <w:rPr>
          <w:rFonts w:ascii="Times New Roman" w:hAnsi="Times New Roman" w:cs="Times New Roman"/>
          <w:sz w:val="28"/>
          <w:szCs w:val="28"/>
        </w:rPr>
        <w:t xml:space="preserve"> приемная Главы</w:t>
      </w:r>
      <w:r w:rsidR="000F5AE9" w:rsidRPr="005D6640">
        <w:rPr>
          <w:rFonts w:ascii="Times New Roman" w:hAnsi="Times New Roman" w:cs="Times New Roman"/>
          <w:sz w:val="28"/>
          <w:szCs w:val="28"/>
        </w:rPr>
        <w:t xml:space="preserve"> Кривошеинского района;</w:t>
      </w:r>
    </w:p>
    <w:p w:rsidR="00244F43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-</w:t>
      </w:r>
      <w:r w:rsidR="00BB70FC">
        <w:rPr>
          <w:rFonts w:ascii="Times New Roman" w:hAnsi="Times New Roman" w:cs="Times New Roman"/>
          <w:sz w:val="28"/>
          <w:szCs w:val="28"/>
        </w:rPr>
        <w:t xml:space="preserve"> </w:t>
      </w:r>
      <w:r w:rsidRPr="005D6640">
        <w:rPr>
          <w:rFonts w:ascii="Times New Roman" w:hAnsi="Times New Roman" w:cs="Times New Roman"/>
          <w:sz w:val="28"/>
          <w:szCs w:val="28"/>
        </w:rPr>
        <w:t xml:space="preserve">ведется личный прием граждан, в </w:t>
      </w:r>
      <w:r w:rsidR="000F5AE9" w:rsidRPr="005D6640">
        <w:rPr>
          <w:rFonts w:ascii="Times New Roman" w:hAnsi="Times New Roman" w:cs="Times New Roman"/>
          <w:sz w:val="28"/>
          <w:szCs w:val="28"/>
        </w:rPr>
        <w:t>установленное время.</w:t>
      </w:r>
    </w:p>
    <w:p w:rsidR="009A46FA" w:rsidRPr="005D6640" w:rsidRDefault="00244F4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640">
        <w:rPr>
          <w:rFonts w:ascii="Times New Roman" w:hAnsi="Times New Roman" w:cs="Times New Roman"/>
          <w:sz w:val="28"/>
          <w:szCs w:val="28"/>
        </w:rPr>
        <w:t>Так же жители района имеют возможность обращаться в Администрацию Томской области и приемную Президента Р</w:t>
      </w:r>
      <w:r w:rsidR="001A3E6B" w:rsidRPr="005D66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D6640">
        <w:rPr>
          <w:rFonts w:ascii="Times New Roman" w:hAnsi="Times New Roman" w:cs="Times New Roman"/>
          <w:sz w:val="28"/>
          <w:szCs w:val="28"/>
        </w:rPr>
        <w:t>Ф</w:t>
      </w:r>
      <w:r w:rsidR="001A3E6B" w:rsidRPr="005D6640">
        <w:rPr>
          <w:rFonts w:ascii="Times New Roman" w:hAnsi="Times New Roman" w:cs="Times New Roman"/>
          <w:sz w:val="28"/>
          <w:szCs w:val="28"/>
        </w:rPr>
        <w:t>едерации</w:t>
      </w:r>
      <w:r w:rsidRPr="005D6640">
        <w:rPr>
          <w:rFonts w:ascii="Times New Roman" w:hAnsi="Times New Roman" w:cs="Times New Roman"/>
          <w:sz w:val="28"/>
          <w:szCs w:val="28"/>
        </w:rPr>
        <w:t>.</w:t>
      </w:r>
    </w:p>
    <w:p w:rsidR="00542A94" w:rsidRPr="005D6640" w:rsidRDefault="009A46FA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:rsidR="009A46FA" w:rsidRPr="005D6640" w:rsidRDefault="00542A9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срокам и качеству рассмотрения поступивших обращений.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Обращения в Администрации Кривошеинского района рассматриваются </w:t>
      </w:r>
      <w:r w:rsidR="00B52B93">
        <w:rPr>
          <w:rFonts w:ascii="Times New Roman" w:eastAsia="Times New Roman" w:hAnsi="Times New Roman" w:cs="Times New Roman"/>
          <w:sz w:val="28"/>
          <w:szCs w:val="28"/>
        </w:rPr>
        <w:t xml:space="preserve">в срок не </w:t>
      </w:r>
      <w:r w:rsidR="00FB6E41" w:rsidRPr="005D6640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66512B" w:rsidRPr="005D6640">
        <w:rPr>
          <w:rFonts w:ascii="Times New Roman" w:eastAsia="Times New Roman" w:hAnsi="Times New Roman" w:cs="Times New Roman"/>
          <w:sz w:val="28"/>
          <w:szCs w:val="28"/>
        </w:rPr>
        <w:t>30 дней установленных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3E8E" w:rsidRPr="005D6640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E43E8E" w:rsidRPr="005D6640">
        <w:rPr>
          <w:rFonts w:ascii="Times New Roman" w:eastAsia="Times New Roman" w:hAnsi="Times New Roman" w:cs="Times New Roman"/>
          <w:sz w:val="28"/>
          <w:szCs w:val="28"/>
        </w:rPr>
        <w:t xml:space="preserve"> от 02.05.2006 года № 59-ФЗ «О порядке рассмотрения обращений граждан Российской Федерации</w:t>
      </w:r>
      <w:r w:rsidR="0054133A" w:rsidRPr="005D66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2D26" w:rsidRPr="005D6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46FA" w:rsidRPr="005D6640" w:rsidRDefault="00D17474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32EBB" w:rsidRPr="005D6640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14B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275E1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32EBB" w:rsidRPr="005D664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 w:rsidR="00732EBB" w:rsidRPr="005D6640">
        <w:rPr>
          <w:rFonts w:ascii="Times New Roman" w:eastAsia="Times New Roman" w:hAnsi="Times New Roman" w:cs="Times New Roman"/>
          <w:sz w:val="28"/>
          <w:szCs w:val="28"/>
        </w:rPr>
        <w:t xml:space="preserve">трацию Кривошеинского района </w:t>
      </w:r>
      <w:r w:rsidR="00F14B4A">
        <w:rPr>
          <w:rFonts w:ascii="Times New Roman" w:eastAsia="Times New Roman" w:hAnsi="Times New Roman" w:cs="Times New Roman"/>
          <w:sz w:val="28"/>
          <w:szCs w:val="28"/>
        </w:rPr>
        <w:t>поступило 98</w:t>
      </w:r>
      <w:r w:rsidR="009A46FA" w:rsidRPr="005D6640">
        <w:rPr>
          <w:rFonts w:ascii="Times New Roman" w:eastAsia="Times New Roman" w:hAnsi="Times New Roman" w:cs="Times New Roman"/>
          <w:sz w:val="28"/>
          <w:szCs w:val="28"/>
        </w:rPr>
        <w:t xml:space="preserve"> письмен</w:t>
      </w:r>
      <w:r w:rsidR="00542A94" w:rsidRPr="005D6640">
        <w:rPr>
          <w:rFonts w:ascii="Times New Roman" w:eastAsia="Times New Roman" w:hAnsi="Times New Roman" w:cs="Times New Roman"/>
          <w:sz w:val="28"/>
          <w:szCs w:val="28"/>
        </w:rPr>
        <w:t>ных и уст</w:t>
      </w:r>
      <w:r w:rsidRPr="005D6640">
        <w:rPr>
          <w:rFonts w:ascii="Times New Roman" w:eastAsia="Times New Roman" w:hAnsi="Times New Roman" w:cs="Times New Roman"/>
          <w:sz w:val="28"/>
          <w:szCs w:val="28"/>
        </w:rPr>
        <w:t xml:space="preserve">ных обращений граждан, что на </w:t>
      </w:r>
      <w:r w:rsidR="00F14B4A">
        <w:rPr>
          <w:rFonts w:ascii="Times New Roman" w:eastAsia="Times New Roman" w:hAnsi="Times New Roman" w:cs="Times New Roman"/>
          <w:sz w:val="28"/>
          <w:szCs w:val="28"/>
        </w:rPr>
        <w:t>45</w:t>
      </w:r>
      <w:r w:rsidR="00C64610">
        <w:rPr>
          <w:rFonts w:ascii="Times New Roman" w:eastAsia="Times New Roman" w:hAnsi="Times New Roman" w:cs="Times New Roman"/>
          <w:sz w:val="28"/>
          <w:szCs w:val="28"/>
        </w:rPr>
        <w:t xml:space="preserve"> обращений меньше</w:t>
      </w:r>
      <w:r w:rsidR="00542A94" w:rsidRPr="005D6640">
        <w:rPr>
          <w:rFonts w:ascii="Times New Roman" w:eastAsia="Times New Roman" w:hAnsi="Times New Roman" w:cs="Times New Roman"/>
          <w:sz w:val="28"/>
          <w:szCs w:val="28"/>
        </w:rPr>
        <w:t>, чем за аналогичный период 201</w:t>
      </w:r>
      <w:r w:rsidR="00F14B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2A94" w:rsidRPr="005D664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B6E41" w:rsidRDefault="00D562E5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69</w:t>
      </w:r>
      <w:r w:rsidR="0066512B" w:rsidRPr="005D664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47BF9" w:rsidRPr="005D6640">
        <w:rPr>
          <w:rFonts w:ascii="Times New Roman" w:hAnsi="Times New Roman" w:cs="Times New Roman"/>
          <w:sz w:val="28"/>
          <w:szCs w:val="28"/>
        </w:rPr>
        <w:t>й</w:t>
      </w:r>
      <w:r w:rsidR="00732EBB" w:rsidRPr="005D6640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="0054133A" w:rsidRPr="005D664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732EBB" w:rsidRPr="005D6640">
        <w:rPr>
          <w:rFonts w:ascii="Times New Roman" w:hAnsi="Times New Roman" w:cs="Times New Roman"/>
          <w:sz w:val="28"/>
          <w:szCs w:val="28"/>
        </w:rPr>
        <w:t>в Адми</w:t>
      </w:r>
      <w:r w:rsidR="00FB6E41" w:rsidRPr="005D6640">
        <w:rPr>
          <w:rFonts w:ascii="Times New Roman" w:hAnsi="Times New Roman" w:cs="Times New Roman"/>
          <w:sz w:val="28"/>
          <w:szCs w:val="28"/>
        </w:rPr>
        <w:t>нистрацию Кривошеинского рай</w:t>
      </w:r>
      <w:r w:rsidR="0054133A" w:rsidRPr="005D6640">
        <w:rPr>
          <w:rFonts w:ascii="Times New Roman" w:hAnsi="Times New Roman" w:cs="Times New Roman"/>
          <w:sz w:val="28"/>
          <w:szCs w:val="28"/>
        </w:rPr>
        <w:t xml:space="preserve">она,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43E8E" w:rsidRPr="005D6640">
        <w:rPr>
          <w:rFonts w:ascii="Times New Roman" w:hAnsi="Times New Roman" w:cs="Times New Roman"/>
          <w:sz w:val="28"/>
          <w:szCs w:val="28"/>
        </w:rPr>
        <w:t xml:space="preserve"> обращений </w:t>
      </w:r>
      <w:proofErr w:type="gramStart"/>
      <w:r w:rsidR="00E43E8E" w:rsidRPr="005D6640">
        <w:rPr>
          <w:rFonts w:ascii="Times New Roman" w:hAnsi="Times New Roman" w:cs="Times New Roman"/>
          <w:sz w:val="28"/>
          <w:szCs w:val="28"/>
        </w:rPr>
        <w:t>перенаправлены</w:t>
      </w:r>
      <w:proofErr w:type="gramEnd"/>
      <w:r w:rsidR="00FB6E41" w:rsidRPr="005D6640">
        <w:rPr>
          <w:rFonts w:ascii="Times New Roman" w:hAnsi="Times New Roman" w:cs="Times New Roman"/>
          <w:sz w:val="28"/>
          <w:szCs w:val="28"/>
        </w:rPr>
        <w:t xml:space="preserve"> из вышестоящих органов.</w:t>
      </w:r>
    </w:p>
    <w:p w:rsidR="005D6640" w:rsidRP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01A" w:rsidRDefault="0098201A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D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1943" cy="3905646"/>
            <wp:effectExtent l="19050" t="0" r="9707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2DA6" w:rsidRDefault="00B02DA6" w:rsidP="001935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7F" w:rsidRPr="00B0607F" w:rsidRDefault="00B0607F" w:rsidP="00B060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 xml:space="preserve">Анализ поступивших обращений показывает, что по – </w:t>
      </w:r>
      <w:proofErr w:type="gramStart"/>
      <w:r w:rsidRPr="00B0607F">
        <w:rPr>
          <w:rFonts w:ascii="Times New Roman" w:eastAsia="Times New Roman" w:hAnsi="Times New Roman" w:cs="Times New Roman"/>
          <w:sz w:val="28"/>
          <w:szCs w:val="28"/>
        </w:rPr>
        <w:t>прежнему</w:t>
      </w:r>
      <w:proofErr w:type="gramEnd"/>
      <w:r w:rsidRPr="00B0607F">
        <w:rPr>
          <w:rFonts w:ascii="Times New Roman" w:eastAsia="Times New Roman" w:hAnsi="Times New Roman" w:cs="Times New Roman"/>
          <w:sz w:val="28"/>
          <w:szCs w:val="28"/>
        </w:rPr>
        <w:t xml:space="preserve"> самыми острыми и многочисленными остаются проблемы жилищно-</w:t>
      </w:r>
      <w:r w:rsidRPr="00B0607F">
        <w:rPr>
          <w:rFonts w:ascii="Times New Roman" w:hAnsi="Times New Roman" w:cs="Times New Roman"/>
          <w:sz w:val="28"/>
          <w:szCs w:val="28"/>
        </w:rPr>
        <w:t>коммунальной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0607F">
        <w:rPr>
          <w:rFonts w:ascii="Times New Roman" w:hAnsi="Times New Roman" w:cs="Times New Roman"/>
          <w:sz w:val="28"/>
          <w:szCs w:val="28"/>
        </w:rPr>
        <w:t xml:space="preserve"> социальной сферы. 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>Значительная част</w:t>
      </w:r>
      <w:r w:rsidR="0009305C">
        <w:rPr>
          <w:rFonts w:ascii="Times New Roman" w:eastAsia="Times New Roman" w:hAnsi="Times New Roman" w:cs="Times New Roman"/>
          <w:sz w:val="28"/>
          <w:szCs w:val="28"/>
        </w:rPr>
        <w:t xml:space="preserve">ь обращений связана с ремонтом, 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>и содержание</w:t>
      </w:r>
      <w:r w:rsidR="000930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дорог, заявители  сообщали о недостатках с просьбой их устранения.</w:t>
      </w:r>
    </w:p>
    <w:p w:rsidR="00B0607F" w:rsidRPr="00B0607F" w:rsidRDefault="00B0607F" w:rsidP="00B0607F">
      <w:pPr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 xml:space="preserve">Затрагивались темы связанные с ненадлежащим содержанием жилого фонда и придомовой территории, некачественное предоставление коммунальных услуг, в том числе и перебои в </w:t>
      </w:r>
      <w:r w:rsidR="0090055F">
        <w:rPr>
          <w:rFonts w:ascii="Times New Roman" w:eastAsia="Times New Roman" w:hAnsi="Times New Roman" w:cs="Times New Roman"/>
          <w:sz w:val="28"/>
          <w:szCs w:val="28"/>
        </w:rPr>
        <w:t>вывозе ЖБО</w:t>
      </w:r>
      <w:r w:rsidRPr="00B0607F">
        <w:rPr>
          <w:rFonts w:ascii="Times New Roman" w:eastAsia="Times New Roman" w:hAnsi="Times New Roman" w:cs="Times New Roman"/>
          <w:sz w:val="28"/>
          <w:szCs w:val="28"/>
        </w:rPr>
        <w:t>, их стоимостью. Так же наибольшее количество составляют обращения связанные с улучшением жилищных условий. В структуре обращений социального характера большую часть составляют вопросы, касающиеся оказания материальной помощи на первоочередные нужды, на улучшение жилищных условий.</w:t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7B3" w:rsidRDefault="00AB47B3" w:rsidP="004C7BC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1867" cy="4155385"/>
            <wp:effectExtent l="19050" t="0" r="1358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D67" w:rsidRDefault="007C3D67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заявителей больше всего обращений поступает от раб</w:t>
      </w:r>
      <w:r w:rsidR="004C7BCC">
        <w:rPr>
          <w:rFonts w:ascii="Times New Roman" w:hAnsi="Times New Roman" w:cs="Times New Roman"/>
          <w:sz w:val="28"/>
          <w:szCs w:val="28"/>
        </w:rPr>
        <w:t>отающих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и пенсионеров, также в Администрацию Кривошеинского района обращаются безработные, одинокие ма</w:t>
      </w:r>
      <w:r w:rsidR="00B06AE2">
        <w:rPr>
          <w:rFonts w:ascii="Times New Roman" w:hAnsi="Times New Roman" w:cs="Times New Roman"/>
          <w:sz w:val="28"/>
          <w:szCs w:val="28"/>
        </w:rPr>
        <w:t>тери</w:t>
      </w:r>
      <w:r w:rsidR="004C7BCC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B93" w:rsidRDefault="00B52B93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6640" w:rsidRDefault="005D6640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151" w:rsidRDefault="00912151" w:rsidP="00193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4" w:type="dxa"/>
        <w:tblLook w:val="04A0"/>
      </w:tblPr>
      <w:tblGrid>
        <w:gridCol w:w="5688"/>
        <w:gridCol w:w="2087"/>
      </w:tblGrid>
      <w:tr w:rsidR="008B1BDA" w:rsidTr="008B1BDA">
        <w:tc>
          <w:tcPr>
            <w:tcW w:w="5688" w:type="dxa"/>
          </w:tcPr>
          <w:p w:rsidR="008B1BDA" w:rsidRDefault="008B1BDA" w:rsidP="004C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  <w:tc>
          <w:tcPr>
            <w:tcW w:w="2087" w:type="dxa"/>
          </w:tcPr>
          <w:p w:rsidR="008B1BDA" w:rsidRDefault="008B1BDA" w:rsidP="004C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087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(обычные)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742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Осужденные</w:t>
            </w:r>
          </w:p>
        </w:tc>
        <w:tc>
          <w:tcPr>
            <w:tcW w:w="2087" w:type="dxa"/>
          </w:tcPr>
          <w:p w:rsidR="008B1BDA" w:rsidRDefault="008B1BDA" w:rsidP="00742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сферы предпринимательства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1BDA" w:rsidTr="008B1BDA">
        <w:tc>
          <w:tcPr>
            <w:tcW w:w="5688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087" w:type="dxa"/>
          </w:tcPr>
          <w:p w:rsidR="008B1BDA" w:rsidRDefault="005267A8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1BDA" w:rsidTr="008B1BDA">
        <w:tc>
          <w:tcPr>
            <w:tcW w:w="5688" w:type="dxa"/>
          </w:tcPr>
          <w:p w:rsidR="008B1BDA" w:rsidRPr="004C39A5" w:rsidRDefault="008B1BDA" w:rsidP="001935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9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C3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:rsidR="008B1BDA" w:rsidRDefault="008B1BDA" w:rsidP="00193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A80077" w:rsidRDefault="00A80077" w:rsidP="00A80077">
      <w:pPr>
        <w:rPr>
          <w:rFonts w:ascii="Times New Roman" w:hAnsi="Times New Roman" w:cs="Times New Roman"/>
          <w:sz w:val="28"/>
          <w:szCs w:val="28"/>
        </w:rPr>
      </w:pPr>
    </w:p>
    <w:p w:rsidR="00BB70FC" w:rsidRDefault="00A80077" w:rsidP="00A80077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6640">
        <w:rPr>
          <w:rFonts w:ascii="Times New Roman" w:hAnsi="Times New Roman" w:cs="Times New Roman"/>
          <w:sz w:val="28"/>
          <w:szCs w:val="28"/>
        </w:rPr>
        <w:t>Сохраняется тенденция, когда граждане обращаются с жалобами и заявлениями в различные инстанции без учета их полномочий и компетенций</w:t>
      </w:r>
      <w:r w:rsidR="00B52B93">
        <w:rPr>
          <w:rFonts w:ascii="Times New Roman" w:hAnsi="Times New Roman" w:cs="Times New Roman"/>
          <w:sz w:val="28"/>
          <w:szCs w:val="28"/>
        </w:rPr>
        <w:t>. Большое количество обращений из</w:t>
      </w:r>
      <w:r w:rsidR="005D6640">
        <w:rPr>
          <w:rFonts w:ascii="Times New Roman" w:hAnsi="Times New Roman" w:cs="Times New Roman"/>
          <w:sz w:val="28"/>
          <w:szCs w:val="28"/>
        </w:rPr>
        <w:t xml:space="preserve"> числа письменных – поступили в адрес Администрации Кривошеинского района не по подведомственности</w:t>
      </w:r>
      <w:r w:rsidR="009835D2">
        <w:rPr>
          <w:rFonts w:ascii="Times New Roman" w:hAnsi="Times New Roman" w:cs="Times New Roman"/>
          <w:sz w:val="28"/>
          <w:szCs w:val="28"/>
        </w:rPr>
        <w:t>,</w:t>
      </w:r>
      <w:r w:rsidR="0009305C">
        <w:rPr>
          <w:rFonts w:ascii="Times New Roman" w:hAnsi="Times New Roman" w:cs="Times New Roman"/>
          <w:sz w:val="28"/>
          <w:szCs w:val="28"/>
        </w:rPr>
        <w:t xml:space="preserve"> 36 обращений было перенаправлено по компетенции</w:t>
      </w:r>
      <w:r w:rsidR="005D6640">
        <w:rPr>
          <w:rFonts w:ascii="Times New Roman" w:hAnsi="Times New Roman" w:cs="Times New Roman"/>
          <w:sz w:val="28"/>
          <w:szCs w:val="28"/>
        </w:rPr>
        <w:t>. Но и эти обращения не остаются без внимания со стороны власти района. Регулярно осуществляются проверки полноты рассмотрения вопросов, изложенных в обращениях, адекватности принимаемых решений. Активно используется такая форма рассмотрения обращений</w:t>
      </w:r>
      <w:r w:rsidR="00365084">
        <w:rPr>
          <w:rFonts w:ascii="Times New Roman" w:hAnsi="Times New Roman" w:cs="Times New Roman"/>
          <w:sz w:val="28"/>
          <w:szCs w:val="28"/>
        </w:rPr>
        <w:t xml:space="preserve"> граждан, как рассмотрение с выездом на место. Такая форма организации работы при рассмотрении обращений граждан позволяет не только повысить качество их рассмотрения, но и исключает формальный подход</w:t>
      </w:r>
      <w:r w:rsidR="00BB70FC">
        <w:rPr>
          <w:rFonts w:ascii="Times New Roman" w:hAnsi="Times New Roman" w:cs="Times New Roman"/>
          <w:sz w:val="28"/>
          <w:szCs w:val="28"/>
        </w:rPr>
        <w:t>, что в результате должно привести к решению проблем граждан.</w:t>
      </w:r>
      <w:r w:rsidR="00BB70FC" w:rsidRPr="00BB7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77" w:rsidRPr="00D9643D" w:rsidRDefault="00A80077" w:rsidP="00A80077">
      <w:pPr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643D">
        <w:rPr>
          <w:rFonts w:ascii="Times New Roman" w:hAnsi="Times New Roman" w:cs="Times New Roman"/>
          <w:b/>
          <w:sz w:val="28"/>
          <w:szCs w:val="28"/>
        </w:rPr>
        <w:t>Перенаправленные обращения по компетенции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4068"/>
      </w:tblGrid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267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 w:rsidR="00983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835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  <w:r w:rsidR="009835D2"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перенаправленных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Администрация Кривошеинского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Администрация Пудовского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077" w:rsidTr="008B1BDA">
        <w:trPr>
          <w:trHeight w:val="941"/>
        </w:trPr>
        <w:tc>
          <w:tcPr>
            <w:tcW w:w="5580" w:type="dxa"/>
          </w:tcPr>
          <w:p w:rsidR="00A80077" w:rsidRPr="008B1BDA" w:rsidRDefault="00A80077" w:rsidP="008B1BDA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Администрация Иштанского сельского поселения</w:t>
            </w:r>
          </w:p>
        </w:tc>
        <w:tc>
          <w:tcPr>
            <w:tcW w:w="4068" w:type="dxa"/>
          </w:tcPr>
          <w:p w:rsidR="00A80077" w:rsidRPr="008B1BDA" w:rsidRDefault="00A80077" w:rsidP="008B1BDA">
            <w:pPr>
              <w:ind w:left="-180" w:firstLine="8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643D" w:rsidRDefault="00D9643D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BB70FC" w:rsidRDefault="00BB70FC" w:rsidP="00BB70FC">
      <w:pPr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8F12C8">
        <w:rPr>
          <w:rFonts w:ascii="Times New Roman" w:hAnsi="Times New Roman" w:cs="Times New Roman"/>
          <w:sz w:val="28"/>
          <w:szCs w:val="28"/>
        </w:rPr>
        <w:t>Каждому заявителю своевременно дан ответ. Нарушение сроков рассмотрения обращений не допущено. Судебных исков граждан по обжалованию решений Главы Кривошеинского района по обращениям не поступало.</w:t>
      </w:r>
      <w:r w:rsidR="00825D8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5D82" w:rsidRPr="00825D82" w:rsidRDefault="00825D82" w:rsidP="00BB70FC">
      <w:pPr>
        <w:ind w:left="-180" w:firstLine="8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25D82">
        <w:rPr>
          <w:rFonts w:ascii="Times New Roman" w:hAnsi="Times New Roman" w:cs="Times New Roman"/>
          <w:b/>
          <w:sz w:val="28"/>
          <w:szCs w:val="28"/>
        </w:rPr>
        <w:t>Задачи на 2019 год</w:t>
      </w:r>
    </w:p>
    <w:p w:rsidR="0054133A" w:rsidRPr="00825D82" w:rsidRDefault="00825D82" w:rsidP="00825D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           </w:t>
      </w:r>
      <w:r w:rsidRPr="00825D82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требовательности к исполнителям и ответственность всех должностных лиц за соблюдением порядка рассмотрения обращений и подготовки ответов.</w:t>
      </w:r>
    </w:p>
    <w:sectPr w:rsidR="0054133A" w:rsidRPr="00825D82" w:rsidSect="001935D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4F43"/>
    <w:rsid w:val="000011F0"/>
    <w:rsid w:val="0000565C"/>
    <w:rsid w:val="00041E44"/>
    <w:rsid w:val="00070460"/>
    <w:rsid w:val="000707A3"/>
    <w:rsid w:val="00090C09"/>
    <w:rsid w:val="0009305C"/>
    <w:rsid w:val="000D4019"/>
    <w:rsid w:val="000F0EF3"/>
    <w:rsid w:val="000F5AE9"/>
    <w:rsid w:val="00136092"/>
    <w:rsid w:val="00153787"/>
    <w:rsid w:val="001537C9"/>
    <w:rsid w:val="001935D0"/>
    <w:rsid w:val="001A3E6B"/>
    <w:rsid w:val="002027E8"/>
    <w:rsid w:val="00244F43"/>
    <w:rsid w:val="00275E10"/>
    <w:rsid w:val="002779DF"/>
    <w:rsid w:val="002B188B"/>
    <w:rsid w:val="002B477E"/>
    <w:rsid w:val="002B59D9"/>
    <w:rsid w:val="002B7881"/>
    <w:rsid w:val="002C15DF"/>
    <w:rsid w:val="002D699D"/>
    <w:rsid w:val="002D7E05"/>
    <w:rsid w:val="002F2D26"/>
    <w:rsid w:val="002F6DC7"/>
    <w:rsid w:val="003179ED"/>
    <w:rsid w:val="00351BE2"/>
    <w:rsid w:val="00365084"/>
    <w:rsid w:val="00383C59"/>
    <w:rsid w:val="003B7CE9"/>
    <w:rsid w:val="003F46C4"/>
    <w:rsid w:val="00431DAA"/>
    <w:rsid w:val="004449CE"/>
    <w:rsid w:val="004603A6"/>
    <w:rsid w:val="00470C7F"/>
    <w:rsid w:val="0047660C"/>
    <w:rsid w:val="00487FCA"/>
    <w:rsid w:val="004C39A5"/>
    <w:rsid w:val="004C6813"/>
    <w:rsid w:val="004C7BCC"/>
    <w:rsid w:val="004F37B2"/>
    <w:rsid w:val="004F7A38"/>
    <w:rsid w:val="00501B3D"/>
    <w:rsid w:val="00506D5E"/>
    <w:rsid w:val="005129D6"/>
    <w:rsid w:val="005267A8"/>
    <w:rsid w:val="0054133A"/>
    <w:rsid w:val="00542A94"/>
    <w:rsid w:val="00570580"/>
    <w:rsid w:val="00586F03"/>
    <w:rsid w:val="00594007"/>
    <w:rsid w:val="005A1260"/>
    <w:rsid w:val="005B2115"/>
    <w:rsid w:val="005C1D5A"/>
    <w:rsid w:val="005D6640"/>
    <w:rsid w:val="005D76F6"/>
    <w:rsid w:val="00620E93"/>
    <w:rsid w:val="00657293"/>
    <w:rsid w:val="00662485"/>
    <w:rsid w:val="0066512B"/>
    <w:rsid w:val="00685331"/>
    <w:rsid w:val="006A0850"/>
    <w:rsid w:val="006A1549"/>
    <w:rsid w:val="006C4295"/>
    <w:rsid w:val="006C44E1"/>
    <w:rsid w:val="006E65D0"/>
    <w:rsid w:val="00732EBB"/>
    <w:rsid w:val="00732F09"/>
    <w:rsid w:val="00791F85"/>
    <w:rsid w:val="00795DE9"/>
    <w:rsid w:val="007C3D67"/>
    <w:rsid w:val="007E1E4E"/>
    <w:rsid w:val="00825D82"/>
    <w:rsid w:val="008467DD"/>
    <w:rsid w:val="00885989"/>
    <w:rsid w:val="00890F60"/>
    <w:rsid w:val="008A045E"/>
    <w:rsid w:val="008B1BDA"/>
    <w:rsid w:val="008E381D"/>
    <w:rsid w:val="008F12C8"/>
    <w:rsid w:val="0090055F"/>
    <w:rsid w:val="00901A68"/>
    <w:rsid w:val="00912151"/>
    <w:rsid w:val="00953CAD"/>
    <w:rsid w:val="00961751"/>
    <w:rsid w:val="00976E5D"/>
    <w:rsid w:val="0098201A"/>
    <w:rsid w:val="009835D2"/>
    <w:rsid w:val="009A46FA"/>
    <w:rsid w:val="00A22502"/>
    <w:rsid w:val="00A322A8"/>
    <w:rsid w:val="00A537F0"/>
    <w:rsid w:val="00A80077"/>
    <w:rsid w:val="00A95112"/>
    <w:rsid w:val="00AA1B30"/>
    <w:rsid w:val="00AB47B3"/>
    <w:rsid w:val="00AC2F5E"/>
    <w:rsid w:val="00AD0D28"/>
    <w:rsid w:val="00AE1598"/>
    <w:rsid w:val="00B02DA6"/>
    <w:rsid w:val="00B042E9"/>
    <w:rsid w:val="00B0607F"/>
    <w:rsid w:val="00B06AE2"/>
    <w:rsid w:val="00B30E1B"/>
    <w:rsid w:val="00B52B93"/>
    <w:rsid w:val="00B87640"/>
    <w:rsid w:val="00BB70FC"/>
    <w:rsid w:val="00BC043E"/>
    <w:rsid w:val="00BE023E"/>
    <w:rsid w:val="00C32F14"/>
    <w:rsid w:val="00C51154"/>
    <w:rsid w:val="00C64610"/>
    <w:rsid w:val="00C9082A"/>
    <w:rsid w:val="00C95CCA"/>
    <w:rsid w:val="00CA595D"/>
    <w:rsid w:val="00CE5424"/>
    <w:rsid w:val="00D0586B"/>
    <w:rsid w:val="00D17474"/>
    <w:rsid w:val="00D40E8D"/>
    <w:rsid w:val="00D47BF9"/>
    <w:rsid w:val="00D519A1"/>
    <w:rsid w:val="00D562E5"/>
    <w:rsid w:val="00D9643D"/>
    <w:rsid w:val="00DB2B4B"/>
    <w:rsid w:val="00DC6437"/>
    <w:rsid w:val="00DC75F5"/>
    <w:rsid w:val="00DE7FF6"/>
    <w:rsid w:val="00E43E8E"/>
    <w:rsid w:val="00E65A48"/>
    <w:rsid w:val="00E76310"/>
    <w:rsid w:val="00EA2018"/>
    <w:rsid w:val="00ED76AA"/>
    <w:rsid w:val="00F00AA3"/>
    <w:rsid w:val="00F01AF1"/>
    <w:rsid w:val="00F14B4A"/>
    <w:rsid w:val="00F255CC"/>
    <w:rsid w:val="00F40A9F"/>
    <w:rsid w:val="00F8734B"/>
    <w:rsid w:val="00FB468D"/>
    <w:rsid w:val="00FB5D56"/>
    <w:rsid w:val="00FB6E41"/>
    <w:rsid w:val="00FC68EC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5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обращений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143</c:v>
                </c:pt>
                <c:pt idx="1">
                  <c:v>98</c:v>
                </c:pt>
              </c:numCache>
            </c:numRef>
          </c:val>
        </c:ser>
        <c:shape val="cylinder"/>
        <c:axId val="100894976"/>
        <c:axId val="100913920"/>
        <c:axId val="0"/>
      </c:bar3DChart>
      <c:catAx>
        <c:axId val="100894976"/>
        <c:scaling>
          <c:orientation val="minMax"/>
        </c:scaling>
        <c:axPos val="b"/>
        <c:numFmt formatCode="General" sourceLinked="1"/>
        <c:tickLblPos val="nextTo"/>
        <c:crossAx val="100913920"/>
        <c:crosses val="autoZero"/>
        <c:auto val="1"/>
        <c:lblAlgn val="ctr"/>
        <c:lblOffset val="100"/>
      </c:catAx>
      <c:valAx>
        <c:axId val="100913920"/>
        <c:scaling>
          <c:orientation val="minMax"/>
        </c:scaling>
        <c:axPos val="l"/>
        <c:majorGridlines/>
        <c:numFmt formatCode="General" sourceLinked="1"/>
        <c:tickLblPos val="nextTo"/>
        <c:crossAx val="10089497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1270420390158336E-2"/>
          <c:y val="5.7650898212485209E-2"/>
          <c:w val="0.58365959594346151"/>
          <c:h val="0.832670958914351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3"/>
            <c:explosion val="2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На имя Президента</c:v>
                </c:pt>
                <c:pt idx="1">
                  <c:v>в Администрацию Томской области</c:v>
                </c:pt>
                <c:pt idx="2">
                  <c:v>онлайн приемная Главы Кривошеинского района</c:v>
                </c:pt>
                <c:pt idx="3">
                  <c:v>с личного приема Главы Кривошеинского района</c:v>
                </c:pt>
                <c:pt idx="4">
                  <c:v>письменные обращения в Администрацию кривошеинского района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12</c:v>
                </c:pt>
                <c:pt idx="3">
                  <c:v>6</c:v>
                </c:pt>
                <c:pt idx="4">
                  <c:v>51</c:v>
                </c:pt>
              </c:numCache>
            </c:numRef>
          </c:val>
        </c:ser>
        <c:firstSliceAng val="0"/>
      </c:pieChart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8279894543244379"/>
          <c:y val="0"/>
          <c:w val="0.30365547529829534"/>
          <c:h val="0.96166242409066249"/>
        </c:manualLayout>
      </c:layout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социальная сфера</c:v>
                </c:pt>
                <c:pt idx="2">
                  <c:v>оборона ,безопасность , законность</c:v>
                </c:pt>
                <c:pt idx="3">
                  <c:v>государство, общество, политика</c:v>
                </c:pt>
                <c:pt idx="4">
                  <c:v>вопросы не вошедшие в класификатор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35</c:v>
                </c:pt>
                <c:pt idx="2">
                  <c:v>5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gapWidth val="100"/>
        <c:shape val="box"/>
        <c:axId val="116180864"/>
        <c:axId val="116182400"/>
        <c:axId val="0"/>
      </c:bar3DChart>
      <c:catAx>
        <c:axId val="116180864"/>
        <c:scaling>
          <c:orientation val="minMax"/>
        </c:scaling>
        <c:axPos val="b"/>
        <c:tickLblPos val="nextTo"/>
        <c:crossAx val="116182400"/>
        <c:crosses val="autoZero"/>
        <c:auto val="1"/>
        <c:lblAlgn val="ctr"/>
        <c:lblOffset val="100"/>
      </c:catAx>
      <c:valAx>
        <c:axId val="116182400"/>
        <c:scaling>
          <c:orientation val="minMax"/>
        </c:scaling>
        <c:axPos val="l"/>
        <c:majorGridlines/>
        <c:numFmt formatCode="General" sourceLinked="1"/>
        <c:tickLblPos val="nextTo"/>
        <c:crossAx val="1161808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0.38826</cdr:x>
      <cdr:y>0.17496</cdr:y>
    </cdr:from>
    <cdr:to>
      <cdr:x>0.4498</cdr:x>
      <cdr:y>0.26275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163335" y="683315"/>
          <a:ext cx="3429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0.49637</cdr:x>
      <cdr:y>0.38773</cdr:y>
    </cdr:from>
    <cdr:to>
      <cdr:x>0.55791</cdr:x>
      <cdr:y>0.47553</cdr:y>
    </cdr:to>
    <cdr:sp macro="" textlink="">
      <cdr:nvSpPr>
        <cdr:cNvPr id="3" name="Прямоугольник 2"/>
        <cdr:cNvSpPr/>
      </cdr:nvSpPr>
      <cdr:spPr>
        <a:xfrm xmlns:a="http://schemas.openxmlformats.org/drawingml/2006/main" rot="10105059">
          <a:off x="2765769" y="1514346"/>
          <a:ext cx="342898" cy="3429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0.49082</cdr:x>
      <cdr:y>0.6432</cdr:y>
    </cdr:from>
    <cdr:to>
      <cdr:x>0.51134</cdr:x>
      <cdr:y>0.70173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2734835" y="2512115"/>
          <a:ext cx="114322" cy="228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0.28569</cdr:x>
      <cdr:y>0.70173</cdr:y>
    </cdr:from>
    <cdr:to>
      <cdr:x>0.36774</cdr:x>
      <cdr:y>0.81879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1591848" y="2740715"/>
          <a:ext cx="457178" cy="4571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0.14209</cdr:x>
      <cdr:y>0.46761</cdr:y>
    </cdr:from>
    <cdr:to>
      <cdr:x>0.20363</cdr:x>
      <cdr:y>0.5554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791735" y="1826315"/>
          <a:ext cx="3429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0.18105</cdr:x>
      <cdr:y>0.1959</cdr:y>
    </cdr:from>
    <cdr:to>
      <cdr:x>0.26112</cdr:x>
      <cdr:y>0.28369</cdr:y>
    </cdr:to>
    <cdr:sp macro="" textlink="">
      <cdr:nvSpPr>
        <cdr:cNvPr id="7" name="Прямоугольник 6"/>
        <cdr:cNvSpPr/>
      </cdr:nvSpPr>
      <cdr:spPr>
        <a:xfrm xmlns:a="http://schemas.openxmlformats.org/drawingml/2006/main" rot="13857159">
          <a:off x="1060421" y="713478"/>
          <a:ext cx="342898" cy="446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0.28569</cdr:x>
      <cdr:y>0.14569</cdr:y>
    </cdr:from>
    <cdr:to>
      <cdr:x>0.34723</cdr:x>
      <cdr:y>0.23349</cdr:y>
    </cdr:to>
    <cdr:sp macro="" textlink="">
      <cdr:nvSpPr>
        <cdr:cNvPr id="8" name="Прямоугольник 7"/>
        <cdr:cNvSpPr/>
      </cdr:nvSpPr>
      <cdr:spPr>
        <a:xfrm xmlns:a="http://schemas.openxmlformats.org/drawingml/2006/main">
          <a:off x="1591835" y="569015"/>
          <a:ext cx="3429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0.43598</cdr:x>
      <cdr:y>0.54363</cdr:y>
    </cdr:from>
    <cdr:to>
      <cdr:x>0.51931</cdr:x>
      <cdr:y>0.68649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391935" y="173984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0.22547</cdr:x>
      <cdr:y>0.11506</cdr:y>
    </cdr:from>
    <cdr:to>
      <cdr:x>0.26713</cdr:x>
      <cdr:y>0.18649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237008" y="368245"/>
          <a:ext cx="228600" cy="228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0.26713</cdr:x>
      <cdr:y>0.07935</cdr:y>
    </cdr:from>
    <cdr:to>
      <cdr:x>0.3088</cdr:x>
      <cdr:y>0.18649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465608" y="253945"/>
          <a:ext cx="2286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0.1213</cdr:x>
      <cdr:y>0.36506</cdr:y>
    </cdr:from>
    <cdr:to>
      <cdr:x>0.20463</cdr:x>
      <cdr:y>0.50792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665508" y="1168345"/>
          <a:ext cx="457200" cy="4572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0.28797</cdr:x>
      <cdr:y>0.04363</cdr:y>
    </cdr:from>
    <cdr:to>
      <cdr:x>0.32963</cdr:x>
      <cdr:y>0.15078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1579908" y="139645"/>
          <a:ext cx="228600" cy="3429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7</cp:revision>
  <cp:lastPrinted>2018-02-16T07:32:00Z</cp:lastPrinted>
  <dcterms:created xsi:type="dcterms:W3CDTF">2019-01-23T08:33:00Z</dcterms:created>
  <dcterms:modified xsi:type="dcterms:W3CDTF">2019-02-04T05:26:00Z</dcterms:modified>
</cp:coreProperties>
</file>