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DF0B4C">
        <w:rPr>
          <w:b/>
          <w:color w:val="0000FF"/>
        </w:rPr>
        <w:t>3</w:t>
      </w:r>
      <w:r w:rsidR="00A2739D">
        <w:rPr>
          <w:b/>
          <w:color w:val="0000FF"/>
        </w:rPr>
        <w:t xml:space="preserve"> августа</w:t>
      </w:r>
      <w:r w:rsidR="00C36116" w:rsidRPr="00AC1F57">
        <w:rPr>
          <w:b/>
          <w:color w:val="0000FF"/>
        </w:rPr>
        <w:t xml:space="preserve"> 2022 года</w:t>
      </w:r>
    </w:p>
    <w:p w:rsidR="00DF0B4C" w:rsidRPr="00DF0B4C" w:rsidRDefault="00DF0B4C" w:rsidP="00DF0B4C">
      <w:pPr>
        <w:ind w:firstLine="708"/>
        <w:jc w:val="both"/>
        <w:rPr>
          <w:b/>
          <w:color w:val="0000FF"/>
        </w:rPr>
      </w:pPr>
      <w:r w:rsidRPr="00DF0B4C">
        <w:rPr>
          <w:b/>
          <w:color w:val="0000FF"/>
        </w:rPr>
        <w:t>43 услуги Пенсионного фонда жители Томской области могут получить дистанционно</w:t>
      </w:r>
    </w:p>
    <w:p w:rsidR="00DF0B4C" w:rsidRDefault="00DF0B4C" w:rsidP="00DF0B4C">
      <w:pPr>
        <w:ind w:firstLine="708"/>
        <w:jc w:val="both"/>
      </w:pPr>
      <w:r>
        <w:t>Популярность дистанционного получения государственных услуг с каждым годом растет, это удобно, так как нет необходимости личного посещать клиентскую службу ведомства, либо посещения минимальны. Особенно такая форма работы  ПФР актуально и для граждан с ограниченными возможностями здоровья.</w:t>
      </w:r>
    </w:p>
    <w:p w:rsidR="00DF0B4C" w:rsidRDefault="00DF0B4C" w:rsidP="00DF0B4C">
      <w:pPr>
        <w:ind w:firstLine="708"/>
        <w:jc w:val="both"/>
      </w:pPr>
      <w:r>
        <w:t xml:space="preserve">Для жителей региона в настоящее время доступно 43 основных пенсионных услуги, которые носят заявительный характер. Стабильно растет количество пользователей сервисов назначения пенсии и выбора способа ее доставки. </w:t>
      </w:r>
      <w:r>
        <w:br/>
        <w:t>Только с начала текущего года 89%  заявлений на назначение пенсии подано в электронном виде, также 89% электронных заявлений на доставку пенсий.</w:t>
      </w:r>
    </w:p>
    <w:p w:rsidR="00DF0B4C" w:rsidRDefault="00DF0B4C" w:rsidP="00DF0B4C">
      <w:pPr>
        <w:ind w:firstLine="708"/>
        <w:jc w:val="both"/>
      </w:pPr>
      <w:r>
        <w:t xml:space="preserve">Онлайн формат получения социальных услуг пользуется особой популярностью среди семей, имеющих детей, и владельцев сертификатов на </w:t>
      </w:r>
      <w:proofErr w:type="spellStart"/>
      <w:r>
        <w:t>маткапитал</w:t>
      </w:r>
      <w:proofErr w:type="spellEnd"/>
      <w:r>
        <w:t xml:space="preserve">, которые </w:t>
      </w:r>
      <w:proofErr w:type="spellStart"/>
      <w:r>
        <w:t>электронно</w:t>
      </w:r>
      <w:proofErr w:type="spellEnd"/>
      <w:r>
        <w:t xml:space="preserve"> обращаются с заявлениями о распоряжении материнским капиталом (76%).</w:t>
      </w:r>
    </w:p>
    <w:p w:rsidR="00DF0B4C" w:rsidRDefault="00DF0B4C" w:rsidP="00DF0B4C">
      <w:pPr>
        <w:ind w:firstLine="708"/>
        <w:jc w:val="both"/>
      </w:pPr>
      <w:r>
        <w:t xml:space="preserve">Пользоваться личным кабинетом на портале </w:t>
      </w:r>
      <w:proofErr w:type="spellStart"/>
      <w:r>
        <w:t>госуслуг</w:t>
      </w:r>
      <w:proofErr w:type="spellEnd"/>
      <w:r>
        <w:t xml:space="preserve"> и сайте ПФР могут не только нынешние пенсионеры, но и будущие. Онлайн можно получить информацию о состоянии индивидуального лицевого счета, о сумме страховых взносов, уплаченных работодателем. Можно быстро ознакомиться с информацией о сформированных пенсионных правах: получить сведения о стаже, количестве пенсионных коэффициентов и др.</w:t>
      </w:r>
    </w:p>
    <w:p w:rsidR="00DF0B4C" w:rsidRDefault="00DF0B4C" w:rsidP="00DF0B4C">
      <w:pPr>
        <w:ind w:firstLine="708"/>
        <w:jc w:val="both"/>
      </w:pPr>
      <w:r>
        <w:t xml:space="preserve">Для получения большинства услуг необходима подтвержденная учетная запись на портале </w:t>
      </w:r>
      <w:proofErr w:type="spellStart"/>
      <w:r>
        <w:t>госуслуг</w:t>
      </w:r>
      <w:proofErr w:type="spellEnd"/>
      <w:r>
        <w:t>. В клиентских службах Отделения Пенсионного фонда РФ по Томской области, в специально оборудованных цифровых зонах, специалисты помогут зарегистрироваться на портале и получить любую из доступных услуг.</w:t>
      </w:r>
    </w:p>
    <w:p w:rsidR="00DF0B4C" w:rsidRDefault="00DF0B4C" w:rsidP="00A2739D">
      <w:pPr>
        <w:ind w:firstLine="708"/>
        <w:jc w:val="both"/>
      </w:pPr>
    </w:p>
    <w:p w:rsidR="00DF0B4C" w:rsidRDefault="00DF0B4C" w:rsidP="00A2739D">
      <w:pPr>
        <w:ind w:firstLine="708"/>
        <w:jc w:val="both"/>
      </w:pPr>
      <w:bookmarkStart w:id="0" w:name="_GoBack"/>
      <w:bookmarkEnd w:id="0"/>
    </w:p>
    <w:p w:rsidR="00DF0B4C" w:rsidRDefault="00DF0B4C" w:rsidP="00A2739D">
      <w:pPr>
        <w:ind w:firstLine="708"/>
        <w:jc w:val="both"/>
      </w:pPr>
    </w:p>
    <w:p w:rsidR="00DF0B4C" w:rsidRDefault="00DF0B4C" w:rsidP="00A2739D">
      <w:pPr>
        <w:ind w:firstLine="708"/>
        <w:jc w:val="both"/>
      </w:pPr>
    </w:p>
    <w:p w:rsidR="006E6B20" w:rsidRDefault="006E6B20" w:rsidP="00624405">
      <w:pPr>
        <w:ind w:firstLine="708"/>
        <w:jc w:val="both"/>
      </w:pP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A75E17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82E21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DF0B4C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8A0EA36C-8019-4DFC-A005-73C7EAD3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90FC-B002-4BB6-BC6F-10C1FCA7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2022-08-19T02:01:00Z</dcterms:created>
  <dcterms:modified xsi:type="dcterms:W3CDTF">2022-08-19T02:01:00Z</dcterms:modified>
</cp:coreProperties>
</file>