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66240D" w:rsidRDefault="0066240D" w:rsidP="0066240D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30 ноября </w:t>
      </w:r>
      <w:r w:rsidRPr="00AC1F57">
        <w:rPr>
          <w:b/>
          <w:color w:val="0000FF"/>
        </w:rPr>
        <w:t>2022 года</w:t>
      </w:r>
    </w:p>
    <w:p w:rsidR="0066240D" w:rsidRPr="007C4DEC" w:rsidRDefault="0066240D" w:rsidP="0066240D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>Жители Томской области могут до 1 декабря сменить страховщика пенсионных накоплений</w:t>
      </w:r>
    </w:p>
    <w:p w:rsidR="0066240D" w:rsidRDefault="0066240D" w:rsidP="0066240D">
      <w:pPr>
        <w:ind w:firstLine="708"/>
        <w:jc w:val="both"/>
      </w:pPr>
      <w:r>
        <w:t>Если у гражданина формируются пенсионные накопления, он может выбрать страховщика, который будет ими управлять - Пенсионный фонд России (ПФР) или негосударственный пенсионный фонд (НПФ). Граждане, решившие сменить страховщика, должны сделать это до 1 декабря 2022 года.</w:t>
      </w:r>
    </w:p>
    <w:p w:rsidR="0066240D" w:rsidRDefault="0066240D" w:rsidP="0066240D">
      <w:pPr>
        <w:ind w:firstLine="708"/>
        <w:jc w:val="both"/>
      </w:pPr>
      <w:r>
        <w:t>Менять страховщика для инвестирования своих пенсионных накоплений можно ежегодно, но только переход не чаще одного раза в пять лет гарантирует перевод средств в другой пенсионный фонд с учетом всего инвестиционного дохода, полученного у прежнего страховщика.</w:t>
      </w:r>
    </w:p>
    <w:p w:rsidR="0066240D" w:rsidRDefault="0066240D" w:rsidP="0066240D">
      <w:pPr>
        <w:ind w:firstLine="708"/>
        <w:jc w:val="both"/>
      </w:pPr>
      <w:r>
        <w:t>При подаче заявления о досрочном переходе из одного фонда в другой ОПФР по Томской области уведомит гражданина о возможных потерях.</w:t>
      </w:r>
    </w:p>
    <w:p w:rsidR="0066240D" w:rsidRDefault="0066240D" w:rsidP="0066240D">
      <w:pPr>
        <w:ind w:firstLine="708"/>
        <w:jc w:val="both"/>
      </w:pPr>
      <w:r>
        <w:t>До 31 декабря действует так называемый «период охлаждения», в течение которого (после подачи заявления) можно передумать и остаться в прежнем фонде. Этот период введен законодательно для того, чтобы граждане могли принять взвешенное решение о переходе и избежать возможных потерь инвестиционного дохода.</w:t>
      </w:r>
    </w:p>
    <w:p w:rsidR="0066240D" w:rsidRDefault="0066240D" w:rsidP="0066240D">
      <w:pPr>
        <w:ind w:firstLine="708"/>
        <w:jc w:val="both"/>
      </w:pPr>
      <w:r>
        <w:t>Подать заявление о переходе из одного пенсионного фонда в другой, можно в клиентской службе отделения ПФР по Томской области или через Единый портал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66240D" w:rsidRDefault="0066240D" w:rsidP="0066240D">
      <w:pPr>
        <w:ind w:firstLine="708"/>
        <w:jc w:val="both"/>
      </w:pPr>
      <w:r>
        <w:t>Проверить информацию о поданных заявлениях и вынесенном решении можно в Личном кабинете гражданина на сайте ПФР или на портале государственных услуг.</w:t>
      </w:r>
      <w:bookmarkStart w:id="0" w:name="_GoBack"/>
      <w:bookmarkEnd w:id="0"/>
      <w:r>
        <w:t>Кроме того, через личный кабинет, заказав выписку из индивидуального лицевого счета, можно получить информацию о размере пенсионных накоплений, а также о том, в каком фонде размещены эти средства.</w:t>
      </w:r>
    </w:p>
    <w:p w:rsidR="0066240D" w:rsidRDefault="0066240D" w:rsidP="0066240D">
      <w:pPr>
        <w:ind w:firstLine="708"/>
        <w:jc w:val="both"/>
      </w:pPr>
      <w:r>
        <w:t>Обращаем внимание, что сумма дохода, не подлежащего передаче в случае удовлетворения заявления о досрочном переходе, может отличаться от суммы, указанной в выписке, так как в ней не учитываются результаты инвестирования средств пенсионных накоплений в текущем году.</w:t>
      </w:r>
    </w:p>
    <w:p w:rsidR="0066240D" w:rsidRDefault="0066240D" w:rsidP="0066240D">
      <w:pPr>
        <w:ind w:firstLine="708"/>
        <w:jc w:val="both"/>
        <w:rPr>
          <w:b/>
          <w:color w:val="0000FF"/>
        </w:rPr>
      </w:pPr>
      <w:r>
        <w:t>*Для сведения: накопительная составляющая формируется у работающих граждан 1967 года рождения и моложе за счёт уплаты страховых взносов в ПФР, у всех участников программы государственного софинансирования и у тех, кто направил материнский капитал на формирование будущей пенсии. Также в 2002-2004 годах накопительная часть пенсии в обязательном порядке формировалась у мужчин 1953-1966 года рождения и у женщин 1957-1966 года рождения. С 2014 года отчисления работодателей полностью направляются на формирование только страховой пенсии.</w:t>
      </w:r>
      <w:r w:rsidRPr="007C4DEC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</w:p>
    <w:p w:rsidR="00E01CB4" w:rsidRDefault="00E01CB4" w:rsidP="00FB7D32">
      <w:pPr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6240D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1F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0A9A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87BC8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AEA3F9F1-F8EA-4CF8-9329-D37CC7F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540C-10BB-46CA-AB56-069AF342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2022-12-02T06:10:00Z</dcterms:created>
  <dcterms:modified xsi:type="dcterms:W3CDTF">2022-12-02T06:10:00Z</dcterms:modified>
</cp:coreProperties>
</file>